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7E" w:rsidRDefault="006A5A7E" w:rsidP="006A5A7E">
      <w:pPr>
        <w:pStyle w:val="a3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ascii="ProbaProRegular" w:hAnsi="ProbaProRegular"/>
          <w:color w:val="1D1D1B"/>
          <w:sz w:val="37"/>
          <w:szCs w:val="37"/>
        </w:rPr>
      </w:pPr>
      <w:proofErr w:type="spellStart"/>
      <w:r>
        <w:rPr>
          <w:rStyle w:val="a5"/>
          <w:rFonts w:ascii="ProbaProRegular" w:hAnsi="ProbaProRegular"/>
          <w:b/>
          <w:bCs/>
          <w:color w:val="1D1D1B"/>
          <w:sz w:val="37"/>
          <w:szCs w:val="37"/>
          <w:bdr w:val="none" w:sz="0" w:space="0" w:color="auto" w:frame="1"/>
        </w:rPr>
        <w:t>Конфлікт</w:t>
      </w:r>
      <w:proofErr w:type="spellEnd"/>
      <w:r>
        <w:rPr>
          <w:rStyle w:val="a5"/>
          <w:rFonts w:ascii="ProbaProRegular" w:hAnsi="ProbaProRegular"/>
          <w:b/>
          <w:bCs/>
          <w:color w:val="1D1D1B"/>
          <w:sz w:val="37"/>
          <w:szCs w:val="3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Regular" w:hAnsi="ProbaProRegular"/>
          <w:b/>
          <w:bCs/>
          <w:color w:val="1D1D1B"/>
          <w:sz w:val="37"/>
          <w:szCs w:val="37"/>
          <w:bdr w:val="none" w:sz="0" w:space="0" w:color="auto" w:frame="1"/>
        </w:rPr>
        <w:t>інтересі</w:t>
      </w:r>
      <w:proofErr w:type="gramStart"/>
      <w:r>
        <w:rPr>
          <w:rStyle w:val="a5"/>
          <w:rFonts w:ascii="ProbaProRegular" w:hAnsi="ProbaProRegular"/>
          <w:b/>
          <w:bCs/>
          <w:color w:val="1D1D1B"/>
          <w:sz w:val="37"/>
          <w:szCs w:val="37"/>
          <w:bdr w:val="none" w:sz="0" w:space="0" w:color="auto" w:frame="1"/>
        </w:rPr>
        <w:t>в</w:t>
      </w:r>
      <w:proofErr w:type="spellEnd"/>
      <w:proofErr w:type="gramEnd"/>
    </w:p>
    <w:p w:rsid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  <w:lang w:val="uk-UA"/>
        </w:rPr>
      </w:pPr>
      <w:r>
        <w:rPr>
          <w:rFonts w:ascii="ProbaProRegular" w:hAnsi="ProbaProRegular"/>
          <w:color w:val="1D1D1B"/>
          <w:sz w:val="37"/>
          <w:szCs w:val="37"/>
        </w:rPr>
        <w:t xml:space="preserve">            </w:t>
      </w:r>
      <w:r w:rsidRPr="006A5A7E">
        <w:rPr>
          <w:rFonts w:ascii="ProbaProRegular" w:hAnsi="ProbaProRegular"/>
          <w:color w:val="1D1D1B"/>
          <w:sz w:val="28"/>
          <w:szCs w:val="28"/>
        </w:rPr>
        <w:t xml:space="preserve">Особи,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зазначені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у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 </w:t>
      </w:r>
      <w:hyperlink r:id="rId4" w:anchor="n26" w:history="1">
        <w:proofErr w:type="gramStart"/>
        <w:r w:rsidRPr="006A5A7E">
          <w:rPr>
            <w:rStyle w:val="a6"/>
            <w:rFonts w:ascii="ProbaProRegular" w:hAnsi="ProbaProRegular"/>
            <w:color w:val="2D5CA6"/>
            <w:sz w:val="28"/>
            <w:szCs w:val="28"/>
            <w:u w:val="none"/>
            <w:bdr w:val="none" w:sz="0" w:space="0" w:color="auto" w:frame="1"/>
          </w:rPr>
          <w:t>пунктах</w:t>
        </w:r>
        <w:proofErr w:type="gramEnd"/>
        <w:r w:rsidRPr="006A5A7E">
          <w:rPr>
            <w:rStyle w:val="a6"/>
            <w:rFonts w:ascii="ProbaProRegular" w:hAnsi="ProbaProRegular"/>
            <w:color w:val="2D5CA6"/>
            <w:sz w:val="28"/>
            <w:szCs w:val="28"/>
            <w:u w:val="none"/>
            <w:bdr w:val="none" w:sz="0" w:space="0" w:color="auto" w:frame="1"/>
          </w:rPr>
          <w:t xml:space="preserve"> 1</w:t>
        </w:r>
      </w:hyperlink>
      <w:r w:rsidRPr="006A5A7E">
        <w:rPr>
          <w:rFonts w:ascii="ProbaProRegular" w:hAnsi="ProbaProRegular"/>
          <w:color w:val="1D1D1B"/>
          <w:sz w:val="28"/>
          <w:szCs w:val="28"/>
        </w:rPr>
        <w:t>, </w:t>
      </w:r>
      <w:hyperlink r:id="rId5" w:anchor="n37" w:history="1">
        <w:r w:rsidRPr="006A5A7E">
          <w:rPr>
            <w:rStyle w:val="a6"/>
            <w:rFonts w:ascii="ProbaProRegular" w:hAnsi="ProbaProRegular"/>
            <w:color w:val="2D5CA6"/>
            <w:sz w:val="28"/>
            <w:szCs w:val="28"/>
            <w:u w:val="none"/>
            <w:bdr w:val="none" w:sz="0" w:space="0" w:color="auto" w:frame="1"/>
          </w:rPr>
          <w:t>2</w:t>
        </w:r>
      </w:hyperlink>
      <w:r w:rsidRPr="006A5A7E">
        <w:rPr>
          <w:rFonts w:ascii="ProbaProRegular" w:hAnsi="ProbaProRegular"/>
          <w:color w:val="1D1D1B"/>
          <w:sz w:val="28"/>
          <w:szCs w:val="28"/>
        </w:rPr>
        <w:t> 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частини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першої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статті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3  Закону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України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“Про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запобігання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корупції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”,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зобов’язані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: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  <w:lang w:val="uk-UA"/>
        </w:rPr>
      </w:pP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1)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вживати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заходів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щодо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недопущення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виникнення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реального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потенційного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2)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повідомляти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не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п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ізніше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наступного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робочого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дня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моменту, коли особа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дізналася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повинна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була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дізнатися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про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наявність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реального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потенційного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безпосереднього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керівника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а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випадку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перебування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 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посаді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яка не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передбачає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наявності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безпосереднього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керівника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колегіальному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органі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-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Національне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агентство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інший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визначений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законом орган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колегіальний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орган,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п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ід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час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виконання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якому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виник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відповідно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3) не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вчиняти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та не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приймати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ішень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умовах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реального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4)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вжити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заходів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щодо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врегулювання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реального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потенційного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Безпосередній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керівник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керівник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органу, до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якого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належить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звільнення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/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ініціювання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звільнення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посади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протягом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двох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робочих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днів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п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ісля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отримання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повідомлення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про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наявність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підлеглої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йому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 реального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потенційного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приймає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рішення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щодо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врегулювання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про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повідомляє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відповідну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особу.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         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разі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існування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особи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сумніві</w:t>
      </w:r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в</w:t>
      </w:r>
      <w:proofErr w:type="spellEnd"/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щодо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наявності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вона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має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право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звернутися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за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роз’ясненням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до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Національного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агентства.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разі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якщо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особа не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отримала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п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ідтвердження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про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відсутність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вона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відповідно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до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вимог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передбачених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цьому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розділі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Закону.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Потенційний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конфлікт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 -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наявність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особи приватного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сфері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якій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вона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виконує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свої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службові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представницькі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може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вплинути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об’єктивність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неупередженість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прийняття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нею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ішень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вчинення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невчинення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під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час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виконання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зазначених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Реальний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конфлікт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інтересів</w:t>
      </w:r>
      <w:proofErr w:type="spellEnd"/>
      <w:r w:rsidRPr="006A5A7E">
        <w:rPr>
          <w:rStyle w:val="a4"/>
          <w:rFonts w:ascii="ProbaProRegular" w:hAnsi="ProbaProRegular"/>
          <w:color w:val="1D1D1B"/>
          <w:sz w:val="28"/>
          <w:szCs w:val="28"/>
          <w:bdr w:val="none" w:sz="0" w:space="0" w:color="auto" w:frame="1"/>
        </w:rPr>
        <w:t> </w:t>
      </w:r>
      <w:r w:rsidRPr="006A5A7E">
        <w:rPr>
          <w:rFonts w:ascii="ProbaProRegular" w:hAnsi="ProbaProRegular"/>
          <w:color w:val="1D1D1B"/>
          <w:sz w:val="28"/>
          <w:szCs w:val="28"/>
        </w:rPr>
        <w:t xml:space="preserve">-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суперечність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між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приватним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інтересом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 та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її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службовими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представницькими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повноваженнями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впливає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об’єктивність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неупередженість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прийняття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ішень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вчинення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невчинення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під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час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виконання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зазначених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Приватний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інтерес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 -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будь-який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майновий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немайновий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особи, у тому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числі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зумовлений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особистими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сімейними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дружніми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іншими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позаслужбовими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стосунками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фізичними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юридичними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особами, у тому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числі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виникають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зв’язку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членством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діяльністю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громадських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політичних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рел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ігійних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інших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організаціях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 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Заходи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зовнішнього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самостійного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врегулювання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конфлікту</w:t>
      </w:r>
      <w:proofErr w:type="spellEnd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інтересі</w:t>
      </w:r>
      <w:proofErr w:type="gramStart"/>
      <w:r w:rsidRPr="006A5A7E">
        <w:rPr>
          <w:rStyle w:val="a5"/>
          <w:rFonts w:ascii="ProbaProRegular" w:hAnsi="ProbaProRegular"/>
          <w:b/>
          <w:bCs/>
          <w:color w:val="1D1D1B"/>
          <w:sz w:val="28"/>
          <w:szCs w:val="28"/>
          <w:bdr w:val="none" w:sz="0" w:space="0" w:color="auto" w:frame="1"/>
        </w:rPr>
        <w:t>в</w:t>
      </w:r>
      <w:proofErr w:type="spellEnd"/>
      <w:proofErr w:type="gramEnd"/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1.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Зовнішнє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врегулювання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здійснюється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шляхом: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lastRenderedPageBreak/>
        <w:t xml:space="preserve">1)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усунення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виконання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завдання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вчинення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прийняття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ішення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участі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його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прийнятті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в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умовах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реального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потенційного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2)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застосування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зовнішнього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контролю за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виконанням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особою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відповідного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завдання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вчиненням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нею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певних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дій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прийняття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р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ішень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3)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обмеження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доступу особи до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певної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інформації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4) перегляду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обсягу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службових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особи;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5)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переведення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 на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іншу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посаду;</w:t>
      </w:r>
    </w:p>
    <w:p w:rsid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  <w:lang w:val="uk-UA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6)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звільнення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особи.</w:t>
      </w:r>
    </w:p>
    <w:p w:rsidR="00C6538C" w:rsidRPr="00C6538C" w:rsidRDefault="00C6538C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  <w:lang w:val="uk-UA"/>
        </w:rPr>
      </w:pP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r w:rsidRPr="006A5A7E">
        <w:rPr>
          <w:rFonts w:ascii="ProbaProRegular" w:hAnsi="ProbaProRegular"/>
          <w:color w:val="1D1D1B"/>
          <w:sz w:val="28"/>
          <w:szCs w:val="28"/>
        </w:rPr>
        <w:t xml:space="preserve">2. Особи,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зазначені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у </w:t>
      </w:r>
      <w:hyperlink r:id="rId6" w:anchor="n26" w:history="1">
        <w:r w:rsidRPr="006A5A7E">
          <w:rPr>
            <w:rStyle w:val="a6"/>
            <w:rFonts w:ascii="ProbaProRegular" w:hAnsi="ProbaProRegular"/>
            <w:color w:val="2D5CA6"/>
            <w:sz w:val="28"/>
            <w:szCs w:val="28"/>
            <w:u w:val="none"/>
            <w:bdr w:val="none" w:sz="0" w:space="0" w:color="auto" w:frame="1"/>
          </w:rPr>
          <w:t>пунктах 1</w:t>
        </w:r>
      </w:hyperlink>
      <w:r w:rsidRPr="006A5A7E">
        <w:rPr>
          <w:rFonts w:ascii="ProbaProRegular" w:hAnsi="ProbaProRegular"/>
          <w:color w:val="1D1D1B"/>
          <w:sz w:val="28"/>
          <w:szCs w:val="28"/>
        </w:rPr>
        <w:t>, </w:t>
      </w:r>
      <w:hyperlink r:id="rId7" w:anchor="n37" w:history="1">
        <w:r w:rsidRPr="006A5A7E">
          <w:rPr>
            <w:rStyle w:val="a6"/>
            <w:rFonts w:ascii="ProbaProRegular" w:hAnsi="ProbaProRegular"/>
            <w:color w:val="2D5CA6"/>
            <w:sz w:val="28"/>
            <w:szCs w:val="28"/>
            <w:u w:val="none"/>
            <w:bdr w:val="none" w:sz="0" w:space="0" w:color="auto" w:frame="1"/>
          </w:rPr>
          <w:t>2</w:t>
        </w:r>
      </w:hyperlink>
      <w:r w:rsidRPr="006A5A7E">
        <w:rPr>
          <w:rFonts w:ascii="ProbaProRegular" w:hAnsi="ProbaProRegular"/>
          <w:color w:val="1D1D1B"/>
          <w:sz w:val="28"/>
          <w:szCs w:val="28"/>
        </w:rPr>
        <w:t> 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частини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першої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статті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3 Закону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України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“Про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запобігання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корупції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”, у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яких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наявний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реальний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чи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потенційний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конфлікт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,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можуть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самостійно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вжити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заходів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щодо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його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врегулювання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шляхом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позбавлення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відповідного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приватного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наданням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п</w:t>
      </w:r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>ідтверджуючих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це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документів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безпосередньому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керівнику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або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керівнику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органу, до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повноважень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якого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належить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звільнення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/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ініціювання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звільнення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з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посади.</w:t>
      </w:r>
    </w:p>
    <w:p w:rsidR="006A5A7E" w:rsidRPr="006A5A7E" w:rsidRDefault="006A5A7E" w:rsidP="006A5A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Regular" w:hAnsi="ProbaProRegular"/>
          <w:color w:val="1D1D1B"/>
          <w:sz w:val="28"/>
          <w:szCs w:val="28"/>
        </w:rPr>
      </w:pP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Позбавлення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приватного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інтересу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має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виключати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proofErr w:type="gramStart"/>
      <w:r w:rsidRPr="006A5A7E">
        <w:rPr>
          <w:rFonts w:ascii="ProbaProRegular" w:hAnsi="ProbaProRegular"/>
          <w:color w:val="1D1D1B"/>
          <w:sz w:val="28"/>
          <w:szCs w:val="28"/>
        </w:rPr>
        <w:t>будь-яку</w:t>
      </w:r>
      <w:proofErr w:type="spellEnd"/>
      <w:proofErr w:type="gram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можливість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його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 xml:space="preserve"> </w:t>
      </w:r>
      <w:proofErr w:type="spellStart"/>
      <w:r w:rsidRPr="006A5A7E">
        <w:rPr>
          <w:rFonts w:ascii="ProbaProRegular" w:hAnsi="ProbaProRegular"/>
          <w:color w:val="1D1D1B"/>
          <w:sz w:val="28"/>
          <w:szCs w:val="28"/>
        </w:rPr>
        <w:t>приховування</w:t>
      </w:r>
      <w:proofErr w:type="spellEnd"/>
      <w:r w:rsidRPr="006A5A7E">
        <w:rPr>
          <w:rFonts w:ascii="ProbaProRegular" w:hAnsi="ProbaProRegular"/>
          <w:color w:val="1D1D1B"/>
          <w:sz w:val="28"/>
          <w:szCs w:val="28"/>
        </w:rPr>
        <w:t>.</w:t>
      </w:r>
    </w:p>
    <w:p w:rsidR="00192D7C" w:rsidRPr="006A5A7E" w:rsidRDefault="00192D7C" w:rsidP="006A5A7E">
      <w:pPr>
        <w:spacing w:after="0" w:line="240" w:lineRule="auto"/>
        <w:jc w:val="both"/>
        <w:rPr>
          <w:sz w:val="28"/>
          <w:szCs w:val="28"/>
        </w:rPr>
      </w:pPr>
    </w:p>
    <w:sectPr w:rsidR="00192D7C" w:rsidRPr="006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A5A7E"/>
    <w:rsid w:val="00192D7C"/>
    <w:rsid w:val="006A5A7E"/>
    <w:rsid w:val="00C6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A7E"/>
    <w:rPr>
      <w:b/>
      <w:bCs/>
    </w:rPr>
  </w:style>
  <w:style w:type="character" w:styleId="a5">
    <w:name w:val="Emphasis"/>
    <w:basedOn w:val="a0"/>
    <w:uiPriority w:val="20"/>
    <w:qFormat/>
    <w:rsid w:val="006A5A7E"/>
    <w:rPr>
      <w:i/>
      <w:iCs/>
    </w:rPr>
  </w:style>
  <w:style w:type="character" w:styleId="a6">
    <w:name w:val="Hyperlink"/>
    <w:basedOn w:val="a0"/>
    <w:uiPriority w:val="99"/>
    <w:semiHidden/>
    <w:unhideWhenUsed/>
    <w:rsid w:val="006A5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hyperlink" Target="https://zakon.rada.gov.ua/laws/show/1700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2023-10-30T10:52:00Z</dcterms:created>
  <dcterms:modified xsi:type="dcterms:W3CDTF">2023-10-30T10:52:00Z</dcterms:modified>
</cp:coreProperties>
</file>