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716A" w:rsidP="00FB716A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Згідно Положення про Єдиний державний автоматизований реєстр осіб, які мають право на пільги, затвердженого постановою Кабінету Міністрів України від 29.01.2003р. № 117 управління соціального захисту населення організовує збирання, систематизацію і зберігання інформації про осіб, які мають право на пільги за соціальною ознакою згідно із законами України.</w:t>
      </w:r>
    </w:p>
    <w:p w:rsidR="00FB716A" w:rsidRDefault="00FB716A" w:rsidP="00FB716A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Станом на 01.01.2019 р. на обліку в ЄДАРП перебуває 7722 особи:</w:t>
      </w:r>
    </w:p>
    <w:tbl>
      <w:tblPr>
        <w:tblStyle w:val="a4"/>
        <w:tblW w:w="0" w:type="auto"/>
        <w:tblLook w:val="04A0"/>
      </w:tblPr>
      <w:tblGrid>
        <w:gridCol w:w="8188"/>
        <w:gridCol w:w="1667"/>
      </w:tblGrid>
      <w:tr w:rsidR="00FB716A" w:rsidTr="00FB716A">
        <w:tc>
          <w:tcPr>
            <w:tcW w:w="8188" w:type="dxa"/>
          </w:tcPr>
          <w:p w:rsidR="00FB716A" w:rsidRPr="00FB716A" w:rsidRDefault="00FB716A" w:rsidP="00675AD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B716A">
              <w:rPr>
                <w:b/>
                <w:sz w:val="28"/>
                <w:szCs w:val="28"/>
                <w:lang w:val="uk-UA"/>
              </w:rPr>
              <w:t>Категорія пільговик</w:t>
            </w:r>
            <w:r w:rsidR="00675AD3">
              <w:rPr>
                <w:b/>
                <w:sz w:val="28"/>
                <w:szCs w:val="28"/>
                <w:lang w:val="uk-UA"/>
              </w:rPr>
              <w:t>ів</w:t>
            </w:r>
          </w:p>
        </w:tc>
        <w:tc>
          <w:tcPr>
            <w:tcW w:w="1667" w:type="dxa"/>
          </w:tcPr>
          <w:p w:rsidR="00FB716A" w:rsidRPr="00FB716A" w:rsidRDefault="00FB716A" w:rsidP="00FB716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B716A">
              <w:rPr>
                <w:b/>
                <w:sz w:val="28"/>
                <w:szCs w:val="28"/>
                <w:lang w:val="uk-UA"/>
              </w:rPr>
              <w:t>осіб</w:t>
            </w:r>
          </w:p>
        </w:tc>
      </w:tr>
      <w:tr w:rsidR="00FB716A" w:rsidTr="00FB716A">
        <w:tc>
          <w:tcPr>
            <w:tcW w:w="8188" w:type="dxa"/>
          </w:tcPr>
          <w:p w:rsidR="00FB716A" w:rsidRDefault="00FB716A" w:rsidP="00FB71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Ветерани війни</w:t>
            </w:r>
          </w:p>
        </w:tc>
        <w:tc>
          <w:tcPr>
            <w:tcW w:w="1667" w:type="dxa"/>
          </w:tcPr>
          <w:p w:rsidR="00FB716A" w:rsidRDefault="00FB716A" w:rsidP="00FB71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718</w:t>
            </w:r>
          </w:p>
        </w:tc>
      </w:tr>
      <w:tr w:rsidR="00FB716A" w:rsidTr="00FB716A">
        <w:tc>
          <w:tcPr>
            <w:tcW w:w="8188" w:type="dxa"/>
          </w:tcPr>
          <w:p w:rsidR="00FB716A" w:rsidRDefault="00FB716A" w:rsidP="00FB71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Ветерани праці та громадяни похилого віку</w:t>
            </w:r>
          </w:p>
        </w:tc>
        <w:tc>
          <w:tcPr>
            <w:tcW w:w="1667" w:type="dxa"/>
          </w:tcPr>
          <w:p w:rsidR="00FB716A" w:rsidRDefault="00FB716A" w:rsidP="00FB71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2832</w:t>
            </w:r>
          </w:p>
        </w:tc>
      </w:tr>
      <w:tr w:rsidR="00FB716A" w:rsidTr="00FB716A">
        <w:tc>
          <w:tcPr>
            <w:tcW w:w="8188" w:type="dxa"/>
          </w:tcPr>
          <w:p w:rsidR="00FB716A" w:rsidRDefault="00FB716A" w:rsidP="00FB71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 війни</w:t>
            </w:r>
          </w:p>
        </w:tc>
        <w:tc>
          <w:tcPr>
            <w:tcW w:w="1667" w:type="dxa"/>
          </w:tcPr>
          <w:p w:rsidR="00FB716A" w:rsidRDefault="00FB716A" w:rsidP="00FB71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2383</w:t>
            </w:r>
          </w:p>
        </w:tc>
      </w:tr>
      <w:tr w:rsidR="00FB716A" w:rsidTr="00FB716A">
        <w:tc>
          <w:tcPr>
            <w:tcW w:w="8188" w:type="dxa"/>
          </w:tcPr>
          <w:p w:rsidR="00FB716A" w:rsidRDefault="00FB716A" w:rsidP="00FB71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Громадяни, які постраждали внаслідок аварії на ЧАЕС</w:t>
            </w:r>
          </w:p>
        </w:tc>
        <w:tc>
          <w:tcPr>
            <w:tcW w:w="1667" w:type="dxa"/>
          </w:tcPr>
          <w:p w:rsidR="00FB716A" w:rsidRDefault="00675AD3" w:rsidP="00FB71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</w:tr>
      <w:tr w:rsidR="00FB716A" w:rsidTr="00FB716A">
        <w:tc>
          <w:tcPr>
            <w:tcW w:w="8188" w:type="dxa"/>
          </w:tcPr>
          <w:p w:rsidR="00FB716A" w:rsidRDefault="00675AD3" w:rsidP="00FB71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Ветерани військової служби, органів внутрішніх справ та інші особи силових структур</w:t>
            </w:r>
          </w:p>
        </w:tc>
        <w:tc>
          <w:tcPr>
            <w:tcW w:w="1667" w:type="dxa"/>
          </w:tcPr>
          <w:p w:rsidR="00FB716A" w:rsidRDefault="00675AD3" w:rsidP="00FB71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</w:tr>
      <w:tr w:rsidR="00FB716A" w:rsidTr="00FB716A">
        <w:tc>
          <w:tcPr>
            <w:tcW w:w="8188" w:type="dxa"/>
          </w:tcPr>
          <w:p w:rsidR="00FB716A" w:rsidRDefault="00675AD3" w:rsidP="00FB71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 з інвалідністю</w:t>
            </w:r>
          </w:p>
        </w:tc>
        <w:tc>
          <w:tcPr>
            <w:tcW w:w="1667" w:type="dxa"/>
          </w:tcPr>
          <w:p w:rsidR="00FB716A" w:rsidRDefault="00675AD3" w:rsidP="00FB71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796</w:t>
            </w:r>
          </w:p>
        </w:tc>
      </w:tr>
      <w:tr w:rsidR="00FB716A" w:rsidTr="00FB716A">
        <w:tc>
          <w:tcPr>
            <w:tcW w:w="8188" w:type="dxa"/>
          </w:tcPr>
          <w:p w:rsidR="00FB716A" w:rsidRPr="00675AD3" w:rsidRDefault="00675AD3" w:rsidP="00FB71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Багатодітні сім’</w:t>
            </w:r>
            <w:r w:rsidRPr="00675AD3">
              <w:rPr>
                <w:sz w:val="28"/>
                <w:szCs w:val="28"/>
                <w:lang w:val="uk-UA"/>
              </w:rPr>
              <w:t>ї, діти з багатодітних сімей, пр</w:t>
            </w:r>
            <w:r>
              <w:rPr>
                <w:sz w:val="28"/>
                <w:szCs w:val="28"/>
                <w:lang w:val="uk-UA"/>
              </w:rPr>
              <w:t>ийомні сім’</w:t>
            </w:r>
            <w:r w:rsidRPr="00675AD3">
              <w:rPr>
                <w:sz w:val="28"/>
                <w:szCs w:val="28"/>
                <w:lang w:val="uk-UA"/>
              </w:rPr>
              <w:t>ї</w:t>
            </w:r>
          </w:p>
        </w:tc>
        <w:tc>
          <w:tcPr>
            <w:tcW w:w="1667" w:type="dxa"/>
          </w:tcPr>
          <w:p w:rsidR="00FB716A" w:rsidRDefault="00675AD3" w:rsidP="00FB71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686</w:t>
            </w:r>
          </w:p>
        </w:tc>
      </w:tr>
      <w:tr w:rsidR="00FB716A" w:rsidTr="00FB716A">
        <w:tc>
          <w:tcPr>
            <w:tcW w:w="8188" w:type="dxa"/>
          </w:tcPr>
          <w:p w:rsidR="00FB716A" w:rsidRDefault="00675AD3" w:rsidP="00FB71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Сільські педагоги на пенсії, сільські працівники бібліотеки на пенсії, сільські спеціалісти із захисту рослин, сільські медпрацівники на пенсії</w:t>
            </w:r>
          </w:p>
        </w:tc>
        <w:tc>
          <w:tcPr>
            <w:tcW w:w="1667" w:type="dxa"/>
          </w:tcPr>
          <w:p w:rsidR="00FB716A" w:rsidRDefault="00675AD3" w:rsidP="00FB71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</w:t>
            </w:r>
          </w:p>
        </w:tc>
      </w:tr>
    </w:tbl>
    <w:p w:rsidR="004F1F17" w:rsidRDefault="00351843" w:rsidP="009D7689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351843">
        <w:rPr>
          <w:sz w:val="28"/>
          <w:szCs w:val="28"/>
          <w:lang w:val="uk-UA"/>
        </w:rPr>
        <w:t>Законом України від 28.12.2014 р. № 76-</w:t>
      </w:r>
      <w:r>
        <w:rPr>
          <w:sz w:val="28"/>
          <w:szCs w:val="28"/>
        </w:rPr>
        <w:t>VIII</w:t>
      </w:r>
      <w:r w:rsidRPr="00351843">
        <w:rPr>
          <w:sz w:val="28"/>
          <w:szCs w:val="28"/>
          <w:lang w:val="uk-UA"/>
        </w:rPr>
        <w:t xml:space="preserve"> «Про внесення змін та визнання такими, що втратили чинність деяких законодавчих актів України» було внесено зміни до </w:t>
      </w:r>
      <w:r w:rsidR="009D7689">
        <w:rPr>
          <w:sz w:val="28"/>
          <w:szCs w:val="28"/>
          <w:lang w:val="uk-UA"/>
        </w:rPr>
        <w:t>деяких законодавчих актів України</w:t>
      </w:r>
      <w:r w:rsidRPr="00351843">
        <w:rPr>
          <w:sz w:val="28"/>
          <w:szCs w:val="28"/>
          <w:lang w:val="uk-UA"/>
        </w:rPr>
        <w:t xml:space="preserve"> згідно яких з 01.07.2015 р. пільг</w:t>
      </w:r>
      <w:r w:rsidR="000C44E1">
        <w:rPr>
          <w:sz w:val="28"/>
          <w:szCs w:val="28"/>
          <w:lang w:val="uk-UA"/>
        </w:rPr>
        <w:t>и</w:t>
      </w:r>
      <w:r w:rsidR="009D7689">
        <w:rPr>
          <w:sz w:val="28"/>
          <w:szCs w:val="28"/>
          <w:lang w:val="uk-UA"/>
        </w:rPr>
        <w:t xml:space="preserve"> окремим категоріям</w:t>
      </w:r>
      <w:r w:rsidRPr="00351843">
        <w:rPr>
          <w:sz w:val="28"/>
          <w:szCs w:val="28"/>
          <w:lang w:val="uk-UA"/>
        </w:rPr>
        <w:t xml:space="preserve"> </w:t>
      </w:r>
      <w:r w:rsidR="009D7689">
        <w:rPr>
          <w:sz w:val="28"/>
          <w:szCs w:val="28"/>
          <w:lang w:val="uk-UA"/>
        </w:rPr>
        <w:t>громадян (учасникам війни, дітям війни, багатодітним сім’</w:t>
      </w:r>
      <w:r w:rsidR="009D7689" w:rsidRPr="009D7689">
        <w:rPr>
          <w:sz w:val="28"/>
          <w:szCs w:val="28"/>
          <w:lang w:val="uk-UA"/>
        </w:rPr>
        <w:t xml:space="preserve">ям, </w:t>
      </w:r>
      <w:r w:rsidR="009D7689">
        <w:rPr>
          <w:sz w:val="28"/>
          <w:szCs w:val="28"/>
          <w:lang w:val="uk-UA"/>
        </w:rPr>
        <w:t xml:space="preserve">сільським педагогам на пенсії, сільським працівникам бібліотеки на пенсії, сільським спеціалістам із захисту рослин, сільським медпрацівникам на пенсії) </w:t>
      </w:r>
      <w:r w:rsidR="000C44E1">
        <w:rPr>
          <w:sz w:val="28"/>
          <w:szCs w:val="28"/>
          <w:lang w:val="uk-UA"/>
        </w:rPr>
        <w:t xml:space="preserve">надаються за умови, що </w:t>
      </w:r>
      <w:r w:rsidRPr="00351843">
        <w:rPr>
          <w:sz w:val="28"/>
          <w:szCs w:val="28"/>
          <w:lang w:val="uk-UA"/>
        </w:rPr>
        <w:t>середньомісячн</w:t>
      </w:r>
      <w:r w:rsidR="000C44E1">
        <w:rPr>
          <w:sz w:val="28"/>
          <w:szCs w:val="28"/>
          <w:lang w:val="uk-UA"/>
        </w:rPr>
        <w:t>ий</w:t>
      </w:r>
      <w:r w:rsidRPr="00351843">
        <w:rPr>
          <w:sz w:val="28"/>
          <w:szCs w:val="28"/>
          <w:lang w:val="uk-UA"/>
        </w:rPr>
        <w:t xml:space="preserve"> сукупн</w:t>
      </w:r>
      <w:r w:rsidR="000C44E1">
        <w:rPr>
          <w:sz w:val="28"/>
          <w:szCs w:val="28"/>
          <w:lang w:val="uk-UA"/>
        </w:rPr>
        <w:t>ий</w:t>
      </w:r>
      <w:r w:rsidRPr="00351843">
        <w:rPr>
          <w:sz w:val="28"/>
          <w:szCs w:val="28"/>
          <w:lang w:val="uk-UA"/>
        </w:rPr>
        <w:t xml:space="preserve"> дох</w:t>
      </w:r>
      <w:r w:rsidR="000C44E1">
        <w:rPr>
          <w:sz w:val="28"/>
          <w:szCs w:val="28"/>
          <w:lang w:val="uk-UA"/>
        </w:rPr>
        <w:t>ід</w:t>
      </w:r>
      <w:r w:rsidRPr="00351843">
        <w:rPr>
          <w:sz w:val="28"/>
          <w:szCs w:val="28"/>
          <w:lang w:val="uk-UA"/>
        </w:rPr>
        <w:t xml:space="preserve"> сім’ї</w:t>
      </w:r>
      <w:r w:rsidR="000C44E1">
        <w:rPr>
          <w:sz w:val="28"/>
          <w:szCs w:val="28"/>
          <w:lang w:val="uk-UA"/>
        </w:rPr>
        <w:t xml:space="preserve"> пільговика в розрахунку на одну особу </w:t>
      </w:r>
      <w:r w:rsidR="009D7689">
        <w:rPr>
          <w:sz w:val="28"/>
          <w:szCs w:val="28"/>
          <w:lang w:val="uk-UA"/>
        </w:rPr>
        <w:t>н</w:t>
      </w:r>
      <w:r w:rsidR="000C44E1">
        <w:rPr>
          <w:sz w:val="28"/>
          <w:szCs w:val="28"/>
          <w:lang w:val="uk-UA"/>
        </w:rPr>
        <w:t>е</w:t>
      </w:r>
      <w:r w:rsidR="009D7689">
        <w:rPr>
          <w:sz w:val="28"/>
          <w:szCs w:val="28"/>
          <w:lang w:val="uk-UA"/>
        </w:rPr>
        <w:t xml:space="preserve"> </w:t>
      </w:r>
      <w:r w:rsidR="009D7689" w:rsidRPr="009D7689">
        <w:rPr>
          <w:sz w:val="28"/>
          <w:szCs w:val="28"/>
          <w:lang w:val="uk-UA"/>
        </w:rPr>
        <w:t>перевищу</w:t>
      </w:r>
      <w:r w:rsidR="000C44E1">
        <w:rPr>
          <w:sz w:val="28"/>
          <w:szCs w:val="28"/>
          <w:lang w:val="uk-UA"/>
        </w:rPr>
        <w:t>є</w:t>
      </w:r>
      <w:r w:rsidR="009D7689" w:rsidRPr="009D7689">
        <w:rPr>
          <w:sz w:val="28"/>
          <w:szCs w:val="28"/>
          <w:lang w:val="uk-UA"/>
        </w:rPr>
        <w:t xml:space="preserve"> величин</w:t>
      </w:r>
      <w:r w:rsidR="000C44E1">
        <w:rPr>
          <w:sz w:val="28"/>
          <w:szCs w:val="28"/>
          <w:lang w:val="uk-UA"/>
        </w:rPr>
        <w:t>и</w:t>
      </w:r>
      <w:r w:rsidR="009D7689" w:rsidRPr="009D7689">
        <w:rPr>
          <w:sz w:val="28"/>
          <w:szCs w:val="28"/>
          <w:lang w:val="uk-UA"/>
        </w:rPr>
        <w:t xml:space="preserve"> доходу, який дає право на податкову соціальну пільгу</w:t>
      </w:r>
      <w:r w:rsidRPr="00351843">
        <w:rPr>
          <w:sz w:val="28"/>
          <w:szCs w:val="28"/>
          <w:lang w:val="uk-UA"/>
        </w:rPr>
        <w:t>.</w:t>
      </w:r>
      <w:r w:rsidR="0028078C">
        <w:rPr>
          <w:sz w:val="28"/>
          <w:szCs w:val="28"/>
          <w:lang w:val="uk-UA"/>
        </w:rPr>
        <w:t xml:space="preserve"> </w:t>
      </w:r>
    </w:p>
    <w:p w:rsidR="00FB716A" w:rsidRPr="00351843" w:rsidRDefault="0028078C" w:rsidP="009D7689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</w:t>
      </w:r>
      <w:r w:rsidR="004F1F17">
        <w:rPr>
          <w:sz w:val="28"/>
          <w:szCs w:val="28"/>
          <w:lang w:val="uk-UA"/>
        </w:rPr>
        <w:t>визначенні</w:t>
      </w:r>
      <w:r>
        <w:rPr>
          <w:sz w:val="28"/>
          <w:szCs w:val="28"/>
          <w:lang w:val="uk-UA"/>
        </w:rPr>
        <w:t xml:space="preserve"> права на отримання пільг в 2018 році</w:t>
      </w:r>
      <w:r w:rsidR="004F1F17">
        <w:rPr>
          <w:sz w:val="28"/>
          <w:szCs w:val="28"/>
          <w:lang w:val="uk-UA"/>
        </w:rPr>
        <w:t xml:space="preserve"> величина доходу складала 2470 грн. </w:t>
      </w:r>
    </w:p>
    <w:sectPr w:rsidR="00FB716A" w:rsidRPr="003518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2697"/>
    <w:multiLevelType w:val="hybridMultilevel"/>
    <w:tmpl w:val="DAF226D2"/>
    <w:lvl w:ilvl="0" w:tplc="3E129E5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16A"/>
    <w:rsid w:val="000725ED"/>
    <w:rsid w:val="000C44E1"/>
    <w:rsid w:val="0028078C"/>
    <w:rsid w:val="00351843"/>
    <w:rsid w:val="004F1F17"/>
    <w:rsid w:val="00675AD3"/>
    <w:rsid w:val="0069057D"/>
    <w:rsid w:val="00872AEA"/>
    <w:rsid w:val="009D7689"/>
    <w:rsid w:val="00FB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6A"/>
    <w:pPr>
      <w:ind w:left="720"/>
      <w:contextualSpacing/>
    </w:pPr>
  </w:style>
  <w:style w:type="table" w:styleId="a4">
    <w:name w:val="Table Grid"/>
    <w:basedOn w:val="a1"/>
    <w:uiPriority w:val="59"/>
    <w:rsid w:val="00FB7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2019-01-09T09:25:00Z</dcterms:created>
  <dcterms:modified xsi:type="dcterms:W3CDTF">2019-01-09T11:12:00Z</dcterms:modified>
</cp:coreProperties>
</file>