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33" w:rsidRPr="006328EA" w:rsidRDefault="00943633" w:rsidP="00725C92">
      <w:pPr>
        <w:spacing w:after="0"/>
        <w:ind w:left="284" w:right="-4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28EA">
        <w:rPr>
          <w:rFonts w:ascii="Times New Roman" w:hAnsi="Times New Roman" w:cs="Times New Roman"/>
          <w:b/>
          <w:bCs/>
          <w:sz w:val="28"/>
          <w:szCs w:val="28"/>
        </w:rPr>
        <w:t>Пам’ятка</w:t>
      </w:r>
    </w:p>
    <w:p w:rsidR="00943633" w:rsidRDefault="00FC2266" w:rsidP="007E0E07">
      <w:pPr>
        <w:spacing w:after="0"/>
        <w:ind w:left="284" w:right="-4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ознайомлення та </w:t>
      </w:r>
      <w:r w:rsidR="00943633" w:rsidRPr="006328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0E07">
        <w:rPr>
          <w:rFonts w:ascii="Times New Roman" w:hAnsi="Times New Roman" w:cs="Times New Roman"/>
          <w:b/>
          <w:bCs/>
          <w:sz w:val="28"/>
          <w:szCs w:val="28"/>
        </w:rPr>
        <w:t>дотримання вимог  антикорупційного законодавства</w:t>
      </w:r>
    </w:p>
    <w:p w:rsidR="007E0E07" w:rsidRPr="006328EA" w:rsidRDefault="007E0E07" w:rsidP="007E0E07">
      <w:pPr>
        <w:spacing w:after="0"/>
        <w:ind w:left="284" w:right="-4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3633" w:rsidRPr="00A20973" w:rsidRDefault="00D85EBD" w:rsidP="00725C92">
      <w:pPr>
        <w:pStyle w:val="rvps2"/>
        <w:shd w:val="clear" w:color="auto" w:fill="FFFFFF"/>
        <w:spacing w:before="0" w:beforeAutospacing="0" w:after="0" w:afterAutospacing="0"/>
        <w:ind w:left="284" w:right="-427" w:firstLine="567"/>
        <w:jc w:val="both"/>
      </w:pPr>
      <w:r>
        <w:rPr>
          <w:rStyle w:val="rvts9"/>
          <w:b/>
          <w:bCs/>
        </w:rPr>
        <w:t>Відповідно до статті 45 Закону України „</w:t>
      </w:r>
      <w:r w:rsidR="00943633" w:rsidRPr="00A20973">
        <w:rPr>
          <w:rStyle w:val="rvts9"/>
          <w:b/>
          <w:bCs/>
        </w:rPr>
        <w:t>Про запобігання корупції</w:t>
      </w:r>
      <w:bookmarkStart w:id="0" w:name="n440"/>
      <w:bookmarkEnd w:id="0"/>
      <w:r>
        <w:rPr>
          <w:rStyle w:val="rvts9"/>
          <w:b/>
          <w:bCs/>
        </w:rPr>
        <w:t>”</w:t>
      </w:r>
      <w:r w:rsidR="00943633" w:rsidRPr="00A20973">
        <w:t xml:space="preserve"> (далі – Закон) особи, зазначені у</w:t>
      </w:r>
      <w:r w:rsidR="007E0E07">
        <w:t xml:space="preserve"> </w:t>
      </w:r>
      <w:hyperlink r:id="rId7" w:anchor="n26" w:history="1">
        <w:r w:rsidR="00943633" w:rsidRPr="00A20973">
          <w:rPr>
            <w:rStyle w:val="a3"/>
            <w:color w:val="auto"/>
            <w:u w:val="none"/>
          </w:rPr>
          <w:t>пункті 1</w:t>
        </w:r>
      </w:hyperlink>
      <w:r w:rsidR="00943633" w:rsidRPr="00A20973">
        <w:t>,</w:t>
      </w:r>
      <w:r w:rsidR="007E0E07">
        <w:t xml:space="preserve"> </w:t>
      </w:r>
      <w:hyperlink r:id="rId8" w:anchor="n38" w:history="1">
        <w:r w:rsidR="00943633" w:rsidRPr="00A20973">
          <w:rPr>
            <w:rStyle w:val="a3"/>
            <w:color w:val="auto"/>
            <w:u w:val="none"/>
          </w:rPr>
          <w:t>підпунктах «а</w:t>
        </w:r>
      </w:hyperlink>
      <w:r w:rsidR="00943633" w:rsidRPr="00A20973">
        <w:t>»</w:t>
      </w:r>
      <w:r w:rsidR="007E0E07">
        <w:t xml:space="preserve"> </w:t>
      </w:r>
      <w:r w:rsidR="00943633" w:rsidRPr="00A20973">
        <w:t>і</w:t>
      </w:r>
      <w:r w:rsidR="007E0E07">
        <w:t xml:space="preserve"> </w:t>
      </w:r>
      <w:hyperlink r:id="rId9" w:anchor="n1061" w:history="1">
        <w:r w:rsidR="00943633" w:rsidRPr="00A20973">
          <w:rPr>
            <w:rStyle w:val="a3"/>
            <w:color w:val="auto"/>
            <w:u w:val="none"/>
          </w:rPr>
          <w:t>«в</w:t>
        </w:r>
      </w:hyperlink>
      <w:r w:rsidR="00943633" w:rsidRPr="00A20973">
        <w:t>»</w:t>
      </w:r>
      <w:r w:rsidR="007E0E07">
        <w:t xml:space="preserve"> </w:t>
      </w:r>
      <w:r w:rsidR="00943633" w:rsidRPr="00A20973">
        <w:t>пункту 2 частини першої статті 3 Закону, зобов’язані щорічно</w:t>
      </w:r>
      <w:r>
        <w:t>,</w:t>
      </w:r>
      <w:r w:rsidR="005145AA">
        <w:t xml:space="preserve"> </w:t>
      </w:r>
      <w:r>
        <w:t>у визначені Національним агентством з питань запобігання корупції</w:t>
      </w:r>
      <w:r w:rsidR="007E0E07">
        <w:t xml:space="preserve"> </w:t>
      </w:r>
      <w:r>
        <w:t xml:space="preserve">терміни, </w:t>
      </w:r>
      <w:r w:rsidR="00943633" w:rsidRPr="00A20973">
        <w:t>подавати шляхом заповнення на офіційному веб-сайті Національного агентства</w:t>
      </w:r>
      <w:r w:rsidR="007E0E07">
        <w:t xml:space="preserve"> </w:t>
      </w:r>
      <w:hyperlink r:id="rId10" w:anchor="n16" w:tgtFrame="_blank" w:history="1">
        <w:r w:rsidR="00943633" w:rsidRPr="00A20973">
          <w:rPr>
            <w:rStyle w:val="a3"/>
            <w:color w:val="auto"/>
            <w:u w:val="none"/>
          </w:rPr>
          <w:t>декларацію</w:t>
        </w:r>
      </w:hyperlink>
      <w:r w:rsidR="007E0E07">
        <w:t xml:space="preserve"> </w:t>
      </w:r>
      <w:hyperlink r:id="rId11" w:anchor="n16" w:tgtFrame="_blank" w:history="1">
        <w:r w:rsidR="00943633" w:rsidRPr="00A20973">
          <w:rPr>
            <w:rStyle w:val="a3"/>
            <w:color w:val="auto"/>
            <w:u w:val="none"/>
          </w:rPr>
          <w:t>особи, уповноваженої на виконання функцій держави або місцевого самоврядування</w:t>
        </w:r>
      </w:hyperlink>
      <w:r w:rsidR="00943633" w:rsidRPr="00A20973">
        <w:t>(далі - декларація), за минулий рік за формою, що визначається Національним агентством.</w:t>
      </w:r>
    </w:p>
    <w:p w:rsidR="00943633" w:rsidRPr="00A20973" w:rsidRDefault="00943633" w:rsidP="00725C92">
      <w:pPr>
        <w:pStyle w:val="rvps2"/>
        <w:shd w:val="clear" w:color="auto" w:fill="FFFFFF"/>
        <w:spacing w:before="0" w:beforeAutospacing="0" w:after="0" w:afterAutospacing="0"/>
        <w:ind w:left="284" w:right="-427" w:firstLine="567"/>
        <w:jc w:val="both"/>
      </w:pPr>
      <w:bookmarkStart w:id="1" w:name="n1114"/>
      <w:bookmarkEnd w:id="1"/>
      <w:r w:rsidRPr="00A20973">
        <w:t>Особи, зазначені у пункті 1,</w:t>
      </w:r>
      <w:hyperlink r:id="rId12" w:anchor="n38" w:history="1">
        <w:r w:rsidRPr="00A20973">
          <w:rPr>
            <w:rStyle w:val="a3"/>
            <w:color w:val="auto"/>
            <w:u w:val="none"/>
          </w:rPr>
          <w:t>підпунктах «а</w:t>
        </w:r>
      </w:hyperlink>
      <w:r w:rsidRPr="00A20973">
        <w:t>»</w:t>
      </w:r>
      <w:r w:rsidR="003F2657">
        <w:t xml:space="preserve"> </w:t>
      </w:r>
      <w:r w:rsidRPr="00A20973">
        <w:t>і</w:t>
      </w:r>
      <w:r w:rsidR="007E0E07">
        <w:t xml:space="preserve"> </w:t>
      </w:r>
      <w:hyperlink r:id="rId13" w:anchor="n1061" w:history="1">
        <w:r w:rsidRPr="00A20973">
          <w:rPr>
            <w:rStyle w:val="a3"/>
            <w:color w:val="auto"/>
            <w:u w:val="none"/>
          </w:rPr>
          <w:t>«в</w:t>
        </w:r>
      </w:hyperlink>
      <w:r w:rsidRPr="00A20973">
        <w:t>»</w:t>
      </w:r>
      <w:r w:rsidR="007E0E07">
        <w:t xml:space="preserve"> </w:t>
      </w:r>
      <w:r w:rsidRPr="00A20973">
        <w:t>пункту 2 частини першої статті 3 Закону, які припиняють діяльність, пов’язану з виконанням функцій держави або місцевого самоврядування, подають декларацію особи, уповноваженої на виконання функцій держави або місцевого самоврядування, за період, не охоплений раніше поданими деклараціями.</w:t>
      </w:r>
    </w:p>
    <w:p w:rsidR="00943633" w:rsidRDefault="00943633" w:rsidP="00725C92">
      <w:pPr>
        <w:pStyle w:val="rvps2"/>
        <w:shd w:val="clear" w:color="auto" w:fill="FFFFFF"/>
        <w:spacing w:before="0" w:beforeAutospacing="0" w:after="0" w:afterAutospacing="0"/>
        <w:ind w:left="284" w:right="-427" w:firstLine="567"/>
        <w:jc w:val="both"/>
      </w:pPr>
      <w:bookmarkStart w:id="2" w:name="n1115"/>
      <w:bookmarkStart w:id="3" w:name="n442"/>
      <w:bookmarkEnd w:id="2"/>
      <w:bookmarkEnd w:id="3"/>
      <w:r w:rsidRPr="00A20973">
        <w:t>Особи, які припинили діяльність, пов’язану з виконанням функцій держави або місцевого самоврядування, або іншу діяльність, зазначену у</w:t>
      </w:r>
      <w:r w:rsidR="007E0E07">
        <w:t xml:space="preserve"> </w:t>
      </w:r>
      <w:hyperlink r:id="rId14" w:anchor="n38" w:history="1">
        <w:r w:rsidRPr="00A20973">
          <w:rPr>
            <w:rStyle w:val="a3"/>
            <w:color w:val="auto"/>
            <w:u w:val="none"/>
          </w:rPr>
          <w:t>підпунктах «а</w:t>
        </w:r>
      </w:hyperlink>
      <w:r w:rsidRPr="00A20973">
        <w:t xml:space="preserve">» і </w:t>
      </w:r>
      <w:hyperlink r:id="rId15" w:anchor="n1061" w:history="1">
        <w:r w:rsidRPr="00A20973">
          <w:rPr>
            <w:rStyle w:val="a3"/>
            <w:color w:val="auto"/>
            <w:u w:val="none"/>
          </w:rPr>
          <w:t>«в</w:t>
        </w:r>
      </w:hyperlink>
      <w:r w:rsidRPr="00A20973">
        <w:t>» пункту 2 частини першої статті 3, зобов’язані наступного року після припинення діяльності подавати в установленому частиною першою цієї статті порядку декларацію особи, уповноваженої на виконання функцій держави або місцевого самоврядування, за минулий рік.</w:t>
      </w:r>
    </w:p>
    <w:p w:rsidR="00A174C1" w:rsidRPr="00A20973" w:rsidRDefault="00A174C1" w:rsidP="000B4D4F">
      <w:pPr>
        <w:pStyle w:val="rvps2"/>
        <w:shd w:val="clear" w:color="auto" w:fill="FFFFFF"/>
        <w:spacing w:before="0" w:beforeAutospacing="0" w:after="0" w:afterAutospacing="0"/>
        <w:ind w:left="142" w:right="-427" w:firstLine="567"/>
        <w:jc w:val="both"/>
      </w:pPr>
      <w:r>
        <w:t>О</w:t>
      </w:r>
      <w:r w:rsidRPr="00A20973">
        <w:t>соби, зазначені у</w:t>
      </w:r>
      <w:r w:rsidR="007E0E07">
        <w:t xml:space="preserve"> </w:t>
      </w:r>
      <w:hyperlink r:id="rId16" w:anchor="n26" w:history="1">
        <w:r w:rsidRPr="00A20973">
          <w:rPr>
            <w:rStyle w:val="a3"/>
            <w:color w:val="auto"/>
            <w:u w:val="none"/>
          </w:rPr>
          <w:t>пункті 1</w:t>
        </w:r>
      </w:hyperlink>
      <w:r w:rsidRPr="00A20973">
        <w:t>,</w:t>
      </w:r>
      <w:hyperlink r:id="rId17" w:anchor="n38" w:history="1">
        <w:r w:rsidRPr="00A20973">
          <w:rPr>
            <w:rStyle w:val="a3"/>
            <w:color w:val="auto"/>
            <w:u w:val="none"/>
          </w:rPr>
          <w:t>підпунктах «а</w:t>
        </w:r>
      </w:hyperlink>
      <w:r w:rsidRPr="00A20973">
        <w:t>»</w:t>
      </w:r>
      <w:r w:rsidR="007E0E07">
        <w:t xml:space="preserve"> </w:t>
      </w:r>
      <w:r w:rsidRPr="00A20973">
        <w:t>і</w:t>
      </w:r>
      <w:r w:rsidR="007E0E07">
        <w:t xml:space="preserve"> </w:t>
      </w:r>
      <w:hyperlink r:id="rId18" w:anchor="n1061" w:history="1">
        <w:r w:rsidRPr="00A20973">
          <w:rPr>
            <w:rStyle w:val="a3"/>
            <w:color w:val="auto"/>
            <w:u w:val="none"/>
          </w:rPr>
          <w:t>«в</w:t>
        </w:r>
      </w:hyperlink>
      <w:r w:rsidRPr="00A20973">
        <w:t>»</w:t>
      </w:r>
      <w:r w:rsidR="007E0E07">
        <w:t xml:space="preserve"> </w:t>
      </w:r>
      <w:r w:rsidRPr="00A20973">
        <w:t>пункту 2 частини першої статті 3 Закону, зобов’язані</w:t>
      </w:r>
      <w:r>
        <w:t xml:space="preserve"> подати декларацію</w:t>
      </w:r>
      <w:bookmarkStart w:id="4" w:name="_GoBack"/>
      <w:bookmarkEnd w:id="4"/>
      <w:r w:rsidRPr="00A174C1">
        <w:t xml:space="preserve"> кандидата на посаду – декларація, яка подається відповідно до ч. 3 ст. 45 Закону та охоплює звітний період з 01 січня до 31 грудня включно, що передує року, в якому особа подала заяву на зайняття посади, якщо інше не передбачено законодавством та за загальним правилом містить інформацію станом на 31 грудня звітного року</w:t>
      </w:r>
      <w:r>
        <w:t>.</w:t>
      </w:r>
    </w:p>
    <w:p w:rsidR="00FD49EC" w:rsidRDefault="00FD49EC" w:rsidP="000B4D4F">
      <w:pPr>
        <w:pStyle w:val="rvps2"/>
        <w:shd w:val="clear" w:color="auto" w:fill="FFFFFF"/>
        <w:spacing w:before="0" w:beforeAutospacing="0" w:after="0" w:afterAutospacing="0"/>
        <w:ind w:left="142" w:right="-427" w:firstLine="567"/>
        <w:jc w:val="both"/>
        <w:rPr>
          <w:b/>
          <w:bCs/>
        </w:rPr>
      </w:pPr>
    </w:p>
    <w:p w:rsidR="006328EA" w:rsidRPr="007E0E07" w:rsidRDefault="006328EA" w:rsidP="000B4D4F">
      <w:pPr>
        <w:pStyle w:val="rvps2"/>
        <w:shd w:val="clear" w:color="auto" w:fill="FFFFFF"/>
        <w:spacing w:before="0" w:beforeAutospacing="0" w:after="0" w:afterAutospacing="0"/>
        <w:ind w:left="142" w:right="-427" w:firstLine="567"/>
        <w:jc w:val="both"/>
      </w:pPr>
      <w:r w:rsidRPr="007E0E07">
        <w:rPr>
          <w:b/>
          <w:bCs/>
        </w:rPr>
        <w:t>Відповідно до с</w:t>
      </w:r>
      <w:r w:rsidRPr="007E0E07">
        <w:rPr>
          <w:rStyle w:val="rvts9"/>
          <w:b/>
          <w:bCs/>
        </w:rPr>
        <w:t>татт</w:t>
      </w:r>
      <w:r w:rsidR="00FD49EC" w:rsidRPr="007E0E07">
        <w:rPr>
          <w:rStyle w:val="rvts9"/>
          <w:b/>
          <w:bCs/>
        </w:rPr>
        <w:t>і</w:t>
      </w:r>
      <w:r w:rsidRPr="007E0E07">
        <w:rPr>
          <w:rStyle w:val="rvts9"/>
          <w:b/>
          <w:bCs/>
        </w:rPr>
        <w:t xml:space="preserve"> 52 Закону </w:t>
      </w:r>
      <w:r w:rsidR="00FD49EC" w:rsidRPr="007E0E07">
        <w:rPr>
          <w:rStyle w:val="rvts9"/>
        </w:rPr>
        <w:t>у</w:t>
      </w:r>
      <w:r w:rsidRPr="007E0E07">
        <w:t xml:space="preserve">разі відкриття суб’єктом декларування або членом його сім’ї валютного рахунка в установі банку-нерезидента відповідний суб’єкт </w:t>
      </w:r>
      <w:r w:rsidR="00A174C1" w:rsidRPr="007E0E07">
        <w:t>декларування зобов’язаний у двадця</w:t>
      </w:r>
      <w:r w:rsidRPr="007E0E07">
        <w:t>тиденний строк письмово повідомити про це Національне агентство у встановленому ним порядку, із зазначенням номера рахунка і місцезнаходження банку-нерезидента.</w:t>
      </w:r>
    </w:p>
    <w:p w:rsidR="00A20973" w:rsidRPr="007E0E07" w:rsidRDefault="00A20973" w:rsidP="000B4D4F">
      <w:pPr>
        <w:spacing w:after="0"/>
        <w:ind w:left="142" w:right="-427"/>
        <w:rPr>
          <w:sz w:val="24"/>
          <w:szCs w:val="24"/>
        </w:rPr>
      </w:pPr>
      <w:bookmarkStart w:id="5" w:name="n509"/>
      <w:bookmarkStart w:id="6" w:name="n1116"/>
      <w:bookmarkEnd w:id="5"/>
      <w:bookmarkEnd w:id="6"/>
    </w:p>
    <w:p w:rsidR="007E0E07" w:rsidRPr="007E0E07" w:rsidRDefault="007E0E07" w:rsidP="000B4D4F">
      <w:pPr>
        <w:pStyle w:val="a4"/>
        <w:shd w:val="clear" w:color="auto" w:fill="FFFFFF"/>
        <w:spacing w:before="0" w:beforeAutospacing="0" w:after="0" w:afterAutospacing="0"/>
        <w:ind w:left="142" w:right="-427" w:firstLine="282"/>
        <w:jc w:val="both"/>
        <w:rPr>
          <w:rFonts w:ascii="eUkraine" w:hAnsi="eUkraine"/>
        </w:rPr>
      </w:pPr>
      <w:r w:rsidRPr="007E0E07">
        <w:t xml:space="preserve"> </w:t>
      </w:r>
      <w:r w:rsidRPr="000B4D4F">
        <w:rPr>
          <w:b/>
        </w:rPr>
        <w:t>Відповідно до абзацу 1 частини 4  статті 52 Закону</w:t>
      </w:r>
      <w:r w:rsidRPr="007E0E07">
        <w:t xml:space="preserve">, пункту Порядку № 450/21 повідомлення про суттєві зміни в майновому стані (ПСЗ) </w:t>
      </w:r>
      <w:r w:rsidRPr="007E0E07">
        <w:rPr>
          <w:rFonts w:ascii="eUkraine" w:hAnsi="eUkraine"/>
        </w:rPr>
        <w:t xml:space="preserve">суб’єкт декларування, який є службовою особою, який займає  відповідальне та особливо відповідальне становище, </w:t>
      </w:r>
      <w:r w:rsidR="000B4D4F">
        <w:rPr>
          <w:rFonts w:ascii="eUkraine" w:hAnsi="eUkraine"/>
        </w:rPr>
        <w:t>т</w:t>
      </w:r>
      <w:r w:rsidRPr="007E0E07">
        <w:rPr>
          <w:rFonts w:ascii="eUkraine" w:hAnsi="eUkraine"/>
        </w:rPr>
        <w:t>а займає  посаду, пов’язану з високим рівнем корупційних ризиків, подає особисто у 10-денний строк з моменту отримання доходу, придбання майна або здійснення видатку</w:t>
      </w:r>
      <w:r w:rsidR="000B4D4F">
        <w:rPr>
          <w:rFonts w:ascii="eUkraine" w:hAnsi="eUkraine"/>
        </w:rPr>
        <w:t>,</w:t>
      </w:r>
      <w:r w:rsidRPr="007E0E07">
        <w:rPr>
          <w:rFonts w:ascii="eUkraine" w:hAnsi="eUkraine"/>
        </w:rPr>
        <w:t xml:space="preserve"> шляхом заповнення відповідної електронної форми у персональному електронному кабінеті Реєстру</w:t>
      </w:r>
      <w:r w:rsidR="006843D4">
        <w:rPr>
          <w:rFonts w:ascii="eUkraine" w:hAnsi="eUkraine"/>
        </w:rPr>
        <w:t>.</w:t>
      </w:r>
      <w:r w:rsidR="000B4D4F">
        <w:rPr>
          <w:rFonts w:ascii="eUkraine" w:hAnsi="eUkraine"/>
        </w:rPr>
        <w:t xml:space="preserve"> </w:t>
      </w:r>
      <w:r w:rsidRPr="007E0E07">
        <w:t>Обов’язок подати ПСЗ виникає лише за таких обставин у сукупності:</w:t>
      </w:r>
    </w:p>
    <w:p w:rsidR="007E0E07" w:rsidRPr="006843D4" w:rsidRDefault="007E0E07" w:rsidP="000B4D4F">
      <w:pPr>
        <w:pStyle w:val="a4"/>
        <w:numPr>
          <w:ilvl w:val="0"/>
          <w:numId w:val="1"/>
        </w:numPr>
        <w:pBdr>
          <w:bottom w:val="single" w:sz="6" w:space="0" w:color="D3D3D3"/>
        </w:pBdr>
        <w:shd w:val="clear" w:color="auto" w:fill="FFFFFF"/>
        <w:spacing w:before="0" w:beforeAutospacing="0" w:after="0" w:afterAutospacing="0"/>
        <w:ind w:left="142" w:right="-427" w:hanging="1"/>
        <w:jc w:val="both"/>
        <w:textAlignment w:val="baseline"/>
      </w:pPr>
      <w:r w:rsidRPr="006843D4">
        <w:t>отримано дохід, придбано майно, здійснено видаток,</w:t>
      </w:r>
    </w:p>
    <w:p w:rsidR="007E0E07" w:rsidRPr="006843D4" w:rsidRDefault="007E0E07" w:rsidP="000B4D4F">
      <w:pPr>
        <w:pStyle w:val="a4"/>
        <w:numPr>
          <w:ilvl w:val="0"/>
          <w:numId w:val="1"/>
        </w:numPr>
        <w:pBdr>
          <w:bottom w:val="single" w:sz="6" w:space="0" w:color="D3D3D3"/>
        </w:pBdr>
        <w:shd w:val="clear" w:color="auto" w:fill="FFFFFF"/>
        <w:spacing w:before="0" w:beforeAutospacing="0" w:after="0" w:afterAutospacing="0"/>
        <w:ind w:left="142" w:right="-427" w:hanging="1"/>
        <w:jc w:val="both"/>
        <w:textAlignment w:val="baseline"/>
      </w:pPr>
      <w:r w:rsidRPr="006843D4">
        <w:t>дохід отримав / майно придбав / видаток здійснив саме суб’єкт декларування,</w:t>
      </w:r>
    </w:p>
    <w:p w:rsidR="007E0E07" w:rsidRPr="006843D4" w:rsidRDefault="007E0E07" w:rsidP="000B4D4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 w:right="-427" w:hanging="1"/>
        <w:jc w:val="both"/>
        <w:textAlignment w:val="baseline"/>
      </w:pPr>
      <w:r w:rsidRPr="006843D4">
        <w:t>розмір доходу /видатку, вартість придбаного майна перевищує </w:t>
      </w:r>
      <w:hyperlink r:id="rId19" w:tgtFrame="_blank" w:history="1">
        <w:r w:rsidRPr="006843D4">
          <w:rPr>
            <w:rStyle w:val="a3"/>
            <w:color w:val="auto"/>
            <w:u w:val="none"/>
          </w:rPr>
          <w:t>50</w:t>
        </w:r>
        <w:r w:rsidR="006843D4" w:rsidRPr="006843D4">
          <w:rPr>
            <w:rStyle w:val="a3"/>
            <w:color w:val="auto"/>
            <w:u w:val="none"/>
          </w:rPr>
          <w:t xml:space="preserve"> прожиткових мінімумів</w:t>
        </w:r>
      </w:hyperlink>
      <w:r w:rsidR="006843D4" w:rsidRPr="006843D4">
        <w:rPr>
          <w:rFonts w:ascii="eUkraine" w:hAnsi="eUkraine"/>
          <w:color w:val="333333"/>
        </w:rPr>
        <w:t xml:space="preserve"> </w:t>
      </w:r>
      <w:r w:rsidR="006843D4" w:rsidRPr="006843D4">
        <w:rPr>
          <w:rFonts w:ascii="eUkraine" w:hAnsi="eUkraine"/>
        </w:rPr>
        <w:t>для працездатних осіб на 1 січня відповідного року</w:t>
      </w:r>
      <w:r w:rsidR="006843D4" w:rsidRPr="006843D4">
        <w:t>.</w:t>
      </w:r>
    </w:p>
    <w:p w:rsidR="007E0E07" w:rsidRPr="007E0E07" w:rsidRDefault="007E0E07" w:rsidP="000B4D4F">
      <w:pPr>
        <w:pStyle w:val="a4"/>
        <w:shd w:val="clear" w:color="auto" w:fill="FFFFFF"/>
        <w:spacing w:before="0" w:beforeAutospacing="0" w:after="0" w:afterAutospacing="0"/>
        <w:ind w:left="142" w:right="-427" w:hanging="1"/>
        <w:jc w:val="both"/>
        <w:rPr>
          <w:rFonts w:ascii="eUkraine" w:hAnsi="eUkraine"/>
          <w:sz w:val="20"/>
          <w:szCs w:val="20"/>
        </w:rPr>
      </w:pPr>
      <w:r w:rsidRPr="006843D4">
        <w:t xml:space="preserve">  Подання ПСЗ в інших випадках (у тому числі щодо членів сім’ї) Законом не передбачено</w:t>
      </w:r>
      <w:r w:rsidRPr="007E0E07">
        <w:t>.</w:t>
      </w:r>
    </w:p>
    <w:p w:rsidR="00FD49EC" w:rsidRPr="000B4D4F" w:rsidRDefault="005145AA" w:rsidP="000B4D4F">
      <w:pPr>
        <w:spacing w:after="0"/>
        <w:ind w:left="142" w:right="-427" w:firstLine="141"/>
        <w:rPr>
          <w:rFonts w:ascii="Times New Roman" w:hAnsi="Times New Roman" w:cs="Times New Roman"/>
          <w:b/>
          <w:i/>
          <w:sz w:val="24"/>
          <w:szCs w:val="24"/>
        </w:rPr>
      </w:pPr>
      <w:r w:rsidRPr="000B4D4F">
        <w:rPr>
          <w:rFonts w:ascii="Times New Roman" w:hAnsi="Times New Roman" w:cs="Times New Roman"/>
          <w:b/>
          <w:i/>
          <w:sz w:val="24"/>
          <w:szCs w:val="24"/>
        </w:rPr>
        <w:t>З вимогами  антикорупційного  законодавства ознайомлений (на).</w:t>
      </w:r>
    </w:p>
    <w:p w:rsidR="005145AA" w:rsidRPr="000B4D4F" w:rsidRDefault="005145AA" w:rsidP="000B4D4F">
      <w:pPr>
        <w:spacing w:after="0"/>
        <w:ind w:left="142" w:right="-427" w:firstLine="141"/>
        <w:rPr>
          <w:rFonts w:ascii="Times New Roman" w:hAnsi="Times New Roman" w:cs="Times New Roman"/>
          <w:b/>
          <w:i/>
          <w:sz w:val="24"/>
          <w:szCs w:val="24"/>
        </w:rPr>
      </w:pPr>
    </w:p>
    <w:p w:rsidR="00FD49EC" w:rsidRPr="00725C92" w:rsidRDefault="00FD49EC" w:rsidP="000B4D4F">
      <w:pPr>
        <w:spacing w:after="0" w:line="240" w:lineRule="auto"/>
        <w:ind w:left="142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C92">
        <w:rPr>
          <w:rFonts w:ascii="Times New Roman" w:hAnsi="Times New Roman" w:cs="Times New Roman"/>
          <w:b/>
          <w:sz w:val="24"/>
          <w:szCs w:val="24"/>
        </w:rPr>
        <w:t xml:space="preserve">Пам’ятка вручена та з нею ознайомлено: </w:t>
      </w:r>
    </w:p>
    <w:p w:rsidR="00FD49EC" w:rsidRDefault="00FD49EC" w:rsidP="00725C92">
      <w:pPr>
        <w:spacing w:after="0" w:line="240" w:lineRule="auto"/>
        <w:ind w:left="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176D53" w:rsidRPr="001F3858" w:rsidRDefault="00176D53" w:rsidP="00725C92">
      <w:pPr>
        <w:spacing w:after="0" w:line="240" w:lineRule="auto"/>
        <w:ind w:left="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FD49EC" w:rsidRPr="001F3858" w:rsidRDefault="00FD49EC" w:rsidP="00725C92">
      <w:pPr>
        <w:spacing w:after="0" w:line="240" w:lineRule="auto"/>
        <w:ind w:left="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1F3858">
        <w:rPr>
          <w:rFonts w:ascii="Times New Roman" w:hAnsi="Times New Roman" w:cs="Times New Roman"/>
          <w:sz w:val="24"/>
          <w:szCs w:val="24"/>
        </w:rPr>
        <w:t>___________     _______________        _____________________________________</w:t>
      </w:r>
    </w:p>
    <w:p w:rsidR="00FD49EC" w:rsidRPr="001F3858" w:rsidRDefault="000B4D4F" w:rsidP="00FD49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52A2">
        <w:rPr>
          <w:rFonts w:ascii="Times New Roman" w:hAnsi="Times New Roman" w:cs="Times New Roman"/>
          <w:sz w:val="24"/>
          <w:szCs w:val="24"/>
        </w:rPr>
        <w:t xml:space="preserve">   (дата)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D49EC" w:rsidRPr="001F3858">
        <w:rPr>
          <w:rFonts w:ascii="Times New Roman" w:hAnsi="Times New Roman" w:cs="Times New Roman"/>
          <w:sz w:val="24"/>
          <w:szCs w:val="24"/>
        </w:rPr>
        <w:t xml:space="preserve"> (підпис)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D49EC" w:rsidRPr="001F3858">
        <w:rPr>
          <w:rFonts w:ascii="Times New Roman" w:hAnsi="Times New Roman" w:cs="Times New Roman"/>
          <w:sz w:val="24"/>
          <w:szCs w:val="24"/>
        </w:rPr>
        <w:t xml:space="preserve">    (</w:t>
      </w:r>
      <w:r w:rsidR="00725C92">
        <w:rPr>
          <w:rFonts w:ascii="Times New Roman" w:hAnsi="Times New Roman" w:cs="Times New Roman"/>
          <w:sz w:val="24"/>
          <w:szCs w:val="24"/>
        </w:rPr>
        <w:t>ім’я, прізвище</w:t>
      </w:r>
      <w:r w:rsidR="00FD49EC" w:rsidRPr="001F3858">
        <w:rPr>
          <w:rFonts w:ascii="Times New Roman" w:hAnsi="Times New Roman" w:cs="Times New Roman"/>
          <w:sz w:val="24"/>
          <w:szCs w:val="24"/>
        </w:rPr>
        <w:t>)</w:t>
      </w:r>
    </w:p>
    <w:p w:rsidR="00FD49EC" w:rsidRPr="006328EA" w:rsidRDefault="00FD49EC" w:rsidP="00A20973">
      <w:pPr>
        <w:spacing w:after="0"/>
      </w:pPr>
    </w:p>
    <w:sectPr w:rsidR="00FD49EC" w:rsidRPr="006328EA" w:rsidSect="000B4D4F">
      <w:headerReference w:type="default" r:id="rId20"/>
      <w:pgSz w:w="11906" w:h="16838"/>
      <w:pgMar w:top="1134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74C" w:rsidRDefault="00E8474C" w:rsidP="00725C92">
      <w:pPr>
        <w:spacing w:after="0" w:line="240" w:lineRule="auto"/>
      </w:pPr>
      <w:r>
        <w:separator/>
      </w:r>
    </w:p>
  </w:endnote>
  <w:endnote w:type="continuationSeparator" w:id="1">
    <w:p w:rsidR="00E8474C" w:rsidRDefault="00E8474C" w:rsidP="0072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eUkrai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74C" w:rsidRDefault="00E8474C" w:rsidP="00725C92">
      <w:pPr>
        <w:spacing w:after="0" w:line="240" w:lineRule="auto"/>
      </w:pPr>
      <w:r>
        <w:separator/>
      </w:r>
    </w:p>
  </w:footnote>
  <w:footnote w:type="continuationSeparator" w:id="1">
    <w:p w:rsidR="00E8474C" w:rsidRDefault="00E8474C" w:rsidP="00725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7080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25C92" w:rsidRPr="00725C92" w:rsidRDefault="00725C9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25C92"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  <w:p w:rsidR="00725C92" w:rsidRDefault="00725C9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073D6"/>
    <w:multiLevelType w:val="multilevel"/>
    <w:tmpl w:val="2B60701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1CC3"/>
    <w:rsid w:val="000B4D4F"/>
    <w:rsid w:val="000F7132"/>
    <w:rsid w:val="00112886"/>
    <w:rsid w:val="00176D53"/>
    <w:rsid w:val="00383277"/>
    <w:rsid w:val="003F2657"/>
    <w:rsid w:val="004352A2"/>
    <w:rsid w:val="00467B49"/>
    <w:rsid w:val="005145AA"/>
    <w:rsid w:val="006328EA"/>
    <w:rsid w:val="00681CC3"/>
    <w:rsid w:val="006843D4"/>
    <w:rsid w:val="00725C92"/>
    <w:rsid w:val="007461BB"/>
    <w:rsid w:val="0075074F"/>
    <w:rsid w:val="007E0E07"/>
    <w:rsid w:val="008030D3"/>
    <w:rsid w:val="00943633"/>
    <w:rsid w:val="00A174C1"/>
    <w:rsid w:val="00A20973"/>
    <w:rsid w:val="00B30A80"/>
    <w:rsid w:val="00B94A1B"/>
    <w:rsid w:val="00BD30CD"/>
    <w:rsid w:val="00C8684E"/>
    <w:rsid w:val="00D80F2D"/>
    <w:rsid w:val="00D85EBD"/>
    <w:rsid w:val="00DF61DE"/>
    <w:rsid w:val="00E306E1"/>
    <w:rsid w:val="00E8474C"/>
    <w:rsid w:val="00E97A77"/>
    <w:rsid w:val="00FC2266"/>
    <w:rsid w:val="00FD4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43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43633"/>
  </w:style>
  <w:style w:type="character" w:styleId="a3">
    <w:name w:val="Hyperlink"/>
    <w:basedOn w:val="a0"/>
    <w:uiPriority w:val="99"/>
    <w:semiHidden/>
    <w:unhideWhenUsed/>
    <w:rsid w:val="00943633"/>
    <w:rPr>
      <w:color w:val="0000FF"/>
      <w:u w:val="single"/>
    </w:rPr>
  </w:style>
  <w:style w:type="character" w:customStyle="1" w:styleId="rvts46">
    <w:name w:val="rvts46"/>
    <w:basedOn w:val="a0"/>
    <w:rsid w:val="00943633"/>
  </w:style>
  <w:style w:type="character" w:customStyle="1" w:styleId="rvts11">
    <w:name w:val="rvts11"/>
    <w:basedOn w:val="a0"/>
    <w:rsid w:val="00943633"/>
  </w:style>
  <w:style w:type="paragraph" w:styleId="a4">
    <w:name w:val="Normal (Web)"/>
    <w:basedOn w:val="a"/>
    <w:uiPriority w:val="99"/>
    <w:semiHidden/>
    <w:unhideWhenUsed/>
    <w:rsid w:val="00632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725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5C92"/>
  </w:style>
  <w:style w:type="paragraph" w:styleId="a7">
    <w:name w:val="footer"/>
    <w:basedOn w:val="a"/>
    <w:link w:val="a8"/>
    <w:uiPriority w:val="99"/>
    <w:unhideWhenUsed/>
    <w:rsid w:val="00725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5C92"/>
  </w:style>
  <w:style w:type="paragraph" w:styleId="a9">
    <w:name w:val="Balloon Text"/>
    <w:basedOn w:val="a"/>
    <w:link w:val="aa"/>
    <w:uiPriority w:val="99"/>
    <w:semiHidden/>
    <w:unhideWhenUsed/>
    <w:rsid w:val="00435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5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2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00-18" TargetMode="External"/><Relationship Id="rId13" Type="http://schemas.openxmlformats.org/officeDocument/2006/relationships/hyperlink" Target="https://zakon.rada.gov.ua/laws/show/1700-18" TargetMode="External"/><Relationship Id="rId18" Type="http://schemas.openxmlformats.org/officeDocument/2006/relationships/hyperlink" Target="https://zakon.rada.gov.ua/laws/show/1700-1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zakon.rada.gov.ua/laws/show/1700-18" TargetMode="External"/><Relationship Id="rId12" Type="http://schemas.openxmlformats.org/officeDocument/2006/relationships/hyperlink" Target="https://zakon.rada.gov.ua/laws/show/1700-18" TargetMode="External"/><Relationship Id="rId17" Type="http://schemas.openxmlformats.org/officeDocument/2006/relationships/hyperlink" Target="https://zakon.rada.gov.ua/laws/show/1700-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1700-18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z0987-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1700-18" TargetMode="External"/><Relationship Id="rId10" Type="http://schemas.openxmlformats.org/officeDocument/2006/relationships/hyperlink" Target="https://zakon.rada.gov.ua/laws/show/z0987-21" TargetMode="External"/><Relationship Id="rId19" Type="http://schemas.openxmlformats.org/officeDocument/2006/relationships/hyperlink" Target="https://wiki.nazk.gov.ua/640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700-18" TargetMode="External"/><Relationship Id="rId14" Type="http://schemas.openxmlformats.org/officeDocument/2006/relationships/hyperlink" Target="https://zakon.rada.gov.ua/laws/show/1700-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Hekalyuk</dc:creator>
  <cp:lastModifiedBy>Людмила</cp:lastModifiedBy>
  <cp:revision>2</cp:revision>
  <cp:lastPrinted>2023-02-21T09:24:00Z</cp:lastPrinted>
  <dcterms:created xsi:type="dcterms:W3CDTF">2025-08-26T05:42:00Z</dcterms:created>
  <dcterms:modified xsi:type="dcterms:W3CDTF">2025-08-26T05:42:00Z</dcterms:modified>
</cp:coreProperties>
</file>